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Liste1"/>
        <w:pBdr>
          <w:top w:val="none" w:sz="0" w:space="0" w:color="auto"/>
          <w:left w:val="none" w:sz="0" w:space="0" w:color="auto"/>
          <w:bottom w:val="none" w:sz="0" w:space="0" w:color="auto"/>
          <w:right w:val="none" w:sz="0" w:space="0" w:color="auto"/>
        </w:pBdr>
        <w:tabs>
          <w:tab w:val="left" w:pos="567"/>
        </w:tabs>
        <w:ind w:left="567"/>
        <w:jc w:val="center"/>
        <w:rPr>
          <w:rFonts w:ascii="TT Commons Classic" w:hAnsi="TT Commons Classic"/>
          <w:b/>
          <w:sz w:val="22"/>
          <w:szCs w:val="22"/>
        </w:rPr>
      </w:pPr>
      <w:r>
        <w:rPr>
          <w:rFonts w:ascii="TT Commons Classic" w:hAnsi="TT Commons Classic"/>
          <w:b/>
          <w:sz w:val="22"/>
          <w:szCs w:val="22"/>
        </w:rPr>
        <w:t>Muster: Gesellschafterbeschluss über die Auflösung der GmbH</w:t>
      </w:r>
    </w:p>
    <w:p>
      <w:pPr>
        <w:pStyle w:val="Liste1"/>
        <w:pBdr>
          <w:top w:val="none" w:sz="0" w:space="0" w:color="auto"/>
          <w:left w:val="none" w:sz="0" w:space="0" w:color="auto"/>
          <w:bottom w:val="none" w:sz="0" w:space="0" w:color="auto"/>
          <w:right w:val="none" w:sz="0" w:space="0" w:color="auto"/>
        </w:pBdr>
        <w:tabs>
          <w:tab w:val="left" w:pos="567"/>
        </w:tabs>
        <w:ind w:left="567"/>
        <w:jc w:val="center"/>
        <w:rPr>
          <w:rFonts w:ascii="TT Commons Classic" w:hAnsi="TT Commons Classic"/>
          <w:sz w:val="22"/>
          <w:szCs w:val="22"/>
        </w:rPr>
      </w:pPr>
      <w:r>
        <w:rPr>
          <w:rFonts w:ascii="TT Commons Classic" w:hAnsi="TT Commons Classic"/>
          <w:sz w:val="22"/>
          <w:szCs w:val="22"/>
        </w:rPr>
        <w:t>In der Handelsregistersache [Gesellschaft] – Anschrift …, HRB….</w:t>
      </w:r>
    </w:p>
    <w:p>
      <w:pPr>
        <w:pStyle w:val="Liste1"/>
        <w:pBdr>
          <w:top w:val="none" w:sz="0" w:space="0" w:color="auto"/>
          <w:left w:val="none" w:sz="0" w:space="0" w:color="auto"/>
          <w:bottom w:val="none" w:sz="0" w:space="0" w:color="auto"/>
          <w:right w:val="none" w:sz="0" w:space="0" w:color="auto"/>
        </w:pBdr>
        <w:tabs>
          <w:tab w:val="left" w:pos="284"/>
        </w:tabs>
        <w:ind w:left="284" w:firstLine="0"/>
        <w:jc w:val="both"/>
        <w:rPr>
          <w:rFonts w:ascii="TT Commons Classic" w:hAnsi="TT Commons Classic"/>
          <w:sz w:val="22"/>
          <w:szCs w:val="22"/>
        </w:rPr>
      </w:pPr>
      <w:r>
        <w:rPr>
          <w:rFonts w:ascii="TT Commons Classic" w:hAnsi="TT Commons Classic"/>
          <w:sz w:val="22"/>
          <w:szCs w:val="22"/>
        </w:rPr>
        <w:t>überreicht der unterzeichnete Liquidator der YX- GmbH eine beglaubigte Abschrift des Gesellschafterbeschlusses vom ...... [Datum] und meldet hiermit zur Eintragung in das Handelsregister an:</w:t>
      </w:r>
    </w:p>
    <w:p>
      <w:pPr>
        <w:pStyle w:val="Liste1"/>
        <w:pBdr>
          <w:top w:val="none" w:sz="0" w:space="0" w:color="auto"/>
          <w:left w:val="none" w:sz="0" w:space="0" w:color="auto"/>
          <w:bottom w:val="none" w:sz="0" w:space="0" w:color="auto"/>
          <w:right w:val="none" w:sz="0" w:space="0" w:color="auto"/>
        </w:pBdr>
        <w:tabs>
          <w:tab w:val="left" w:pos="567"/>
        </w:tabs>
        <w:ind w:left="567"/>
        <w:jc w:val="both"/>
        <w:rPr>
          <w:rFonts w:ascii="TT Commons Classic" w:hAnsi="TT Commons Classic"/>
          <w:sz w:val="22"/>
          <w:szCs w:val="22"/>
        </w:rPr>
      </w:pPr>
      <w:bookmarkStart w:id="0" w:name="_GoBack"/>
      <w:bookmarkEnd w:id="0"/>
      <w:r>
        <w:rPr>
          <w:rFonts w:ascii="TT Commons Classic" w:hAnsi="TT Commons Classic"/>
          <w:sz w:val="22"/>
          <w:szCs w:val="22"/>
        </w:rPr>
        <w:t>(1) Die Gesellschaft wird mit Wirkung zum ...... [Datum] aufgelöst.</w:t>
      </w:r>
    </w:p>
    <w:p>
      <w:pPr>
        <w:pStyle w:val="Liste1"/>
        <w:pBdr>
          <w:top w:val="none" w:sz="0" w:space="0" w:color="auto"/>
          <w:left w:val="none" w:sz="0" w:space="0" w:color="auto"/>
          <w:bottom w:val="none" w:sz="0" w:space="0" w:color="auto"/>
          <w:right w:val="none" w:sz="0" w:space="0" w:color="auto"/>
        </w:pBdr>
        <w:tabs>
          <w:tab w:val="left" w:pos="567"/>
        </w:tabs>
        <w:ind w:left="567"/>
        <w:jc w:val="both"/>
        <w:rPr>
          <w:rFonts w:ascii="TT Commons Classic" w:hAnsi="TT Commons Classic"/>
          <w:sz w:val="22"/>
          <w:szCs w:val="22"/>
        </w:rPr>
      </w:pPr>
      <w:r>
        <w:rPr>
          <w:rFonts w:ascii="TT Commons Classic" w:hAnsi="TT Commons Classic"/>
          <w:sz w:val="22"/>
          <w:szCs w:val="22"/>
        </w:rPr>
        <w:t>(2) ...... [Name, Ort, Berufsbezeichnung], wird mit der Auflösung der Gesellschaft zum Liquidator der Gesellschaft bestellt. Er vertritt die Gesellschaft alleine, solange er alleiniger Liquidator ist. Werden weitere Liquidatoren bestellt, vertritt er die Gesellschaft gemeinschaftlich mit einem anderen Liquidator. Er ist von den Beschränkungen des § 181 BGB befreit.</w:t>
      </w:r>
    </w:p>
    <w:p>
      <w:pPr>
        <w:pStyle w:val="Liste1"/>
        <w:pBdr>
          <w:top w:val="none" w:sz="0" w:space="0" w:color="auto"/>
          <w:left w:val="none" w:sz="0" w:space="0" w:color="auto"/>
          <w:bottom w:val="none" w:sz="0" w:space="0" w:color="auto"/>
          <w:right w:val="none" w:sz="0" w:space="0" w:color="auto"/>
        </w:pBdr>
        <w:tabs>
          <w:tab w:val="left" w:pos="567"/>
        </w:tabs>
        <w:ind w:left="567"/>
        <w:jc w:val="both"/>
        <w:rPr>
          <w:rFonts w:ascii="TT Commons Classic" w:hAnsi="TT Commons Classic"/>
          <w:sz w:val="22"/>
          <w:szCs w:val="22"/>
        </w:rPr>
      </w:pPr>
      <w:r>
        <w:rPr>
          <w:rFonts w:ascii="TT Commons Classic" w:hAnsi="TT Commons Classic"/>
          <w:sz w:val="22"/>
          <w:szCs w:val="22"/>
        </w:rPr>
        <w:t>(3) Der bisherige Geschäftsführer der Gesellschaft ...... [Name] wird mit Auflösung der Gesellschaft als Geschäftsführer abberufen.</w:t>
      </w:r>
    </w:p>
    <w:p>
      <w:pPr>
        <w:pStyle w:val="Liste1"/>
        <w:pBdr>
          <w:top w:val="none" w:sz="0" w:space="0" w:color="auto"/>
          <w:left w:val="none" w:sz="0" w:space="0" w:color="auto"/>
          <w:bottom w:val="none" w:sz="0" w:space="0" w:color="auto"/>
          <w:right w:val="none" w:sz="0" w:space="0" w:color="auto"/>
        </w:pBdr>
        <w:tabs>
          <w:tab w:val="left" w:pos="567"/>
        </w:tabs>
        <w:ind w:left="567"/>
        <w:jc w:val="both"/>
        <w:rPr>
          <w:rFonts w:ascii="TT Commons Classic" w:hAnsi="TT Commons Classic"/>
          <w:sz w:val="22"/>
          <w:szCs w:val="22"/>
        </w:rPr>
      </w:pPr>
      <w:r>
        <w:rPr>
          <w:rFonts w:ascii="TT Commons Classic" w:hAnsi="TT Commons Classic"/>
          <w:sz w:val="22"/>
          <w:szCs w:val="22"/>
        </w:rPr>
        <w:t xml:space="preserve">(4) Das laufende Geschäftsjahr ist ein Rumpfgeschäftsjahr, das am ...... [Datum] endet. </w:t>
      </w:r>
    </w:p>
    <w:p>
      <w:pPr>
        <w:pStyle w:val="Liste1"/>
        <w:pBdr>
          <w:top w:val="none" w:sz="0" w:space="0" w:color="auto"/>
          <w:left w:val="none" w:sz="0" w:space="0" w:color="auto"/>
          <w:bottom w:val="none" w:sz="0" w:space="0" w:color="auto"/>
          <w:right w:val="none" w:sz="0" w:space="0" w:color="auto"/>
        </w:pBdr>
        <w:tabs>
          <w:tab w:val="left" w:pos="567"/>
        </w:tabs>
        <w:ind w:left="567"/>
        <w:jc w:val="both"/>
        <w:rPr>
          <w:rFonts w:ascii="TT Commons Classic" w:hAnsi="TT Commons Classic"/>
          <w:sz w:val="22"/>
          <w:szCs w:val="22"/>
        </w:rPr>
      </w:pPr>
      <w:r>
        <w:rPr>
          <w:rFonts w:ascii="TT Commons Classic" w:hAnsi="TT Commons Classic"/>
          <w:sz w:val="22"/>
          <w:szCs w:val="22"/>
        </w:rPr>
        <w:t>(5) Die Bücher und Schriften werden nach Beendigung der Liquidation ...... [Name] in Verwahrung gegeben. ...... [Name] erklärt sich zur Verwahrung bereit.</w:t>
      </w:r>
    </w:p>
    <w:p>
      <w:pPr>
        <w:pStyle w:val="Liste1"/>
        <w:pBdr>
          <w:top w:val="none" w:sz="0" w:space="0" w:color="auto"/>
          <w:left w:val="none" w:sz="0" w:space="0" w:color="auto"/>
          <w:bottom w:val="none" w:sz="0" w:space="0" w:color="auto"/>
          <w:right w:val="none" w:sz="0" w:space="0" w:color="auto"/>
        </w:pBdr>
        <w:tabs>
          <w:tab w:val="left" w:pos="567"/>
        </w:tabs>
        <w:ind w:left="567"/>
        <w:rPr>
          <w:rFonts w:ascii="TT Commons Classic" w:hAnsi="TT Commons Classic"/>
          <w:sz w:val="22"/>
          <w:szCs w:val="22"/>
        </w:rPr>
      </w:pPr>
    </w:p>
    <w:p>
      <w:pPr>
        <w:pStyle w:val="Liste1"/>
        <w:pBdr>
          <w:top w:val="none" w:sz="0" w:space="0" w:color="auto"/>
          <w:left w:val="none" w:sz="0" w:space="0" w:color="auto"/>
          <w:bottom w:val="none" w:sz="0" w:space="0" w:color="auto"/>
          <w:right w:val="none" w:sz="0" w:space="0" w:color="auto"/>
        </w:pBdr>
        <w:tabs>
          <w:tab w:val="left" w:pos="567"/>
        </w:tabs>
        <w:ind w:left="567"/>
        <w:rPr>
          <w:rFonts w:ascii="TT Commons Classic" w:hAnsi="TT Commons Classic"/>
          <w:sz w:val="22"/>
          <w:szCs w:val="22"/>
        </w:rPr>
      </w:pPr>
      <w:r>
        <w:rPr>
          <w:rFonts w:ascii="TT Commons Classic" w:hAnsi="TT Commons Classic"/>
          <w:sz w:val="22"/>
          <w:szCs w:val="22"/>
        </w:rPr>
        <w:t>(Ort, Datum)</w:t>
      </w:r>
    </w:p>
    <w:p>
      <w:pPr>
        <w:pStyle w:val="Liste1"/>
        <w:pBdr>
          <w:top w:val="none" w:sz="0" w:space="0" w:color="auto"/>
          <w:left w:val="none" w:sz="0" w:space="0" w:color="auto"/>
          <w:bottom w:val="none" w:sz="0" w:space="0" w:color="auto"/>
          <w:right w:val="none" w:sz="0" w:space="0" w:color="auto"/>
        </w:pBdr>
        <w:tabs>
          <w:tab w:val="left" w:pos="567"/>
        </w:tabs>
        <w:ind w:left="567"/>
        <w:rPr>
          <w:rFonts w:ascii="TT Commons Classic" w:hAnsi="TT Commons Classic"/>
          <w:sz w:val="22"/>
          <w:szCs w:val="22"/>
        </w:rPr>
      </w:pPr>
      <w:r>
        <w:rPr>
          <w:rFonts w:ascii="TT Commons Classic" w:hAnsi="TT Commons Classic"/>
          <w:sz w:val="22"/>
          <w:szCs w:val="22"/>
        </w:rPr>
        <w:t>.....................................................................</w:t>
      </w:r>
      <w:r>
        <w:rPr>
          <w:rFonts w:ascii="TT Commons Classic" w:hAnsi="TT Commons Classic"/>
          <w:sz w:val="22"/>
          <w:szCs w:val="22"/>
        </w:rPr>
        <w:tab/>
      </w:r>
      <w:r>
        <w:rPr>
          <w:rFonts w:ascii="TT Commons Classic" w:hAnsi="TT Commons Classic"/>
          <w:sz w:val="22"/>
          <w:szCs w:val="22"/>
        </w:rPr>
        <w:tab/>
      </w:r>
      <w:r>
        <w:rPr>
          <w:rFonts w:ascii="TT Commons Classic" w:hAnsi="TT Commons Classic"/>
          <w:sz w:val="22"/>
          <w:szCs w:val="22"/>
        </w:rPr>
        <w:tab/>
      </w:r>
      <w:r>
        <w:rPr>
          <w:rFonts w:ascii="TT Commons Classic" w:hAnsi="TT Commons Classic"/>
          <w:sz w:val="22"/>
          <w:szCs w:val="22"/>
        </w:rPr>
        <w:tab/>
        <w:t>………………………………………………………</w:t>
      </w:r>
    </w:p>
    <w:p>
      <w:pPr>
        <w:pStyle w:val="Liste1"/>
        <w:pBdr>
          <w:top w:val="none" w:sz="0" w:space="0" w:color="auto"/>
          <w:left w:val="none" w:sz="0" w:space="0" w:color="auto"/>
          <w:bottom w:val="none" w:sz="0" w:space="0" w:color="auto"/>
          <w:right w:val="none" w:sz="0" w:space="0" w:color="auto"/>
        </w:pBdr>
        <w:tabs>
          <w:tab w:val="left" w:pos="567"/>
        </w:tabs>
        <w:ind w:left="567"/>
        <w:rPr>
          <w:rFonts w:ascii="TT Commons Classic" w:hAnsi="TT Commons Classic"/>
          <w:sz w:val="22"/>
          <w:szCs w:val="22"/>
        </w:rPr>
      </w:pPr>
      <w:r>
        <w:rPr>
          <w:rFonts w:ascii="TT Commons Classic" w:hAnsi="TT Commons Classic"/>
          <w:sz w:val="22"/>
          <w:szCs w:val="22"/>
        </w:rPr>
        <w:t>Gesellschafter A (Unterschrift)</w:t>
      </w:r>
      <w:r>
        <w:rPr>
          <w:rFonts w:ascii="TT Commons Classic" w:hAnsi="TT Commons Classic"/>
          <w:sz w:val="22"/>
          <w:szCs w:val="22"/>
        </w:rPr>
        <w:tab/>
      </w:r>
      <w:r>
        <w:rPr>
          <w:rFonts w:ascii="TT Commons Classic" w:hAnsi="TT Commons Classic"/>
          <w:sz w:val="22"/>
          <w:szCs w:val="22"/>
        </w:rPr>
        <w:tab/>
      </w:r>
      <w:r>
        <w:rPr>
          <w:rFonts w:ascii="TT Commons Classic" w:hAnsi="TT Commons Classic"/>
          <w:sz w:val="22"/>
          <w:szCs w:val="22"/>
        </w:rPr>
        <w:tab/>
      </w:r>
      <w:r>
        <w:rPr>
          <w:rFonts w:ascii="TT Commons Classic" w:hAnsi="TT Commons Classic"/>
          <w:sz w:val="22"/>
          <w:szCs w:val="22"/>
        </w:rPr>
        <w:tab/>
        <w:t>Gesellschafter B (Unterschrift)</w:t>
      </w:r>
    </w:p>
    <w:p>
      <w:pPr>
        <w:pStyle w:val="Liste1"/>
        <w:pBdr>
          <w:top w:val="none" w:sz="0" w:space="0" w:color="auto"/>
          <w:left w:val="none" w:sz="0" w:space="0" w:color="auto"/>
          <w:bottom w:val="none" w:sz="0" w:space="0" w:color="auto"/>
          <w:right w:val="none" w:sz="0" w:space="0" w:color="auto"/>
        </w:pBdr>
        <w:tabs>
          <w:tab w:val="clear" w:pos="0"/>
          <w:tab w:val="left" w:pos="567"/>
        </w:tabs>
        <w:ind w:left="567"/>
        <w:rPr>
          <w:rFonts w:ascii="TT Commons Classic" w:hAnsi="TT Commons Classic"/>
          <w:sz w:val="22"/>
          <w:szCs w:val="22"/>
        </w:rPr>
      </w:pP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T Commons Classic">
    <w:panose1 w:val="02000506040000020004"/>
    <w:charset w:val="00"/>
    <w:family w:val="auto"/>
    <w:pitch w:val="variable"/>
    <w:sig w:usb0="A000027F" w:usb1="5000A4FB"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57" w:val="MS Word"/>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89B21-6322-483F-A8D6-77F82ABA1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1">
    <w:name w:val="Liste1"/>
    <w:uiPriority w:val="99"/>
    <w:pPr>
      <w:pBdr>
        <w:top w:val="nil"/>
        <w:left w:val="nil"/>
        <w:bottom w:val="nil"/>
        <w:right w:val="nil"/>
      </w:pBdr>
      <w:tabs>
        <w:tab w:val="left" w:pos="0"/>
      </w:tabs>
      <w:autoSpaceDE w:val="0"/>
      <w:autoSpaceDN w:val="0"/>
      <w:adjustRightInd w:val="0"/>
      <w:spacing w:before="120" w:after="120" w:line="240" w:lineRule="auto"/>
      <w:ind w:hanging="284"/>
    </w:pPr>
    <w:rPr>
      <w:rFonts w:ascii="Arial" w:eastAsia="Times New Roman" w:hAnsi="Arial" w:cs="Arial"/>
      <w:color w:val="000000"/>
      <w:sz w:val="20"/>
      <w:szCs w:val="20"/>
      <w:u w:color="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1127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DATEV eG</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Lienhard, Frank</dc:creator>
  <cp:keywords/>
  <dc:description/>
  <cp:lastModifiedBy>Lienhard, Frank</cp:lastModifiedBy>
  <cp:revision>3</cp:revision>
  <dcterms:created xsi:type="dcterms:W3CDTF">2023-11-13T13:43:00Z</dcterms:created>
  <dcterms:modified xsi:type="dcterms:W3CDTF">2023-11-13T14:44:00Z</dcterms:modified>
</cp:coreProperties>
</file>